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94" w:rsidRDefault="00110294" w:rsidP="0011029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110294" w:rsidRPr="00862D0E" w:rsidRDefault="00110294" w:rsidP="0011029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62D0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COMUNICAT </w:t>
      </w:r>
    </w:p>
    <w:p w:rsidR="00110294" w:rsidRPr="00862D0E" w:rsidRDefault="00110294" w:rsidP="0011029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62D0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privind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noile reguli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funcţionare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a piețelor de energie electrică în contextul aplicării prevederilor Regulamentului (UE) nr. 2019/943</w:t>
      </w:r>
    </w:p>
    <w:p w:rsidR="00110294" w:rsidRDefault="00110294" w:rsidP="0011029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anul 2019, Parlamentul European și Consiliul Uniunii Europene au aprobat pachetul legislativ „Energie curată”, cuprinzând, pentru sectorul energiei electrice, Regulamentul (UE)  nr. 2019/943 privind piața internă de energie electrică și Directiva (UE) nr. 2019/944 privind normele comune pentru piața internă de energie electrică. </w:t>
      </w:r>
    </w:p>
    <w:p w:rsidR="00110294" w:rsidRDefault="00110294" w:rsidP="0011029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Prevederile regulamentului menționat se aplică în mod direct statelor membre începând cu data de 1 ianuarie 2020. </w:t>
      </w:r>
    </w:p>
    <w:p w:rsidR="00110294" w:rsidRDefault="00110294" w:rsidP="0011029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Consecventă rolului său stabilit de legea națională și de reglementările europene, ANRE și-a propus să ofere participanților la piață, inclusiv noilor categorii prevăzute de acestea (clienți activi, agregatori, operatori de stocare a energiei etc.) un cadru de piață modern și competitiv.</w:t>
      </w:r>
    </w:p>
    <w:p w:rsidR="00110294" w:rsidRDefault="00110294" w:rsidP="0011029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Astfel, în anul 2020, Autoritatea a pus în consultare publică și a adoptat un număr important de modificări cadrului de reglementare, dintre care amintim: </w:t>
      </w:r>
    </w:p>
    <w:p w:rsidR="00110294" w:rsidRDefault="00110294" w:rsidP="00110294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Stabilirea principiilor generale aplicabile piețelor de energie electrică, în deplin acord cu prevederile reglementărilor UE</w:t>
      </w:r>
    </w:p>
    <w:p w:rsidR="00110294" w:rsidRDefault="00110294" w:rsidP="00110294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Flexibilizarea tranzacțiilor pe piața contractelor bilaterale cu licitație extinsă, în ceea ce privește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profilele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zilnice de livrare, posibilitatea variației cantității orare, facilitate care sprijină îndeosebi producătorii de energie din surse regenerabile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posibilitatea de ajustare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prețului de atribuire în funcție de un indice bursier</w:t>
      </w:r>
    </w:p>
    <w:p w:rsidR="00110294" w:rsidRDefault="00110294" w:rsidP="00110294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Definirea contractelor pe termen lung care pot fi încheiate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pieţe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extrabursiere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stimulează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investiţiile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capacităţi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noi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producţie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având în vedere că Legea 123/2012 cu modificările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ulterioare, permite investitorilor să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contracteze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energia care urmează a fi produsă fără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deţine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licenţă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data contractării, prin contracte de tip PPA</w:t>
      </w:r>
    </w:p>
    <w:p w:rsidR="00110294" w:rsidRPr="002D617B" w:rsidRDefault="00110294" w:rsidP="00110294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Crearea unei platforme administrate de către OPCOM care permite încheierea de contracte de tip PPA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într-un cadru organizat care asigură corectitudinea, cadrul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concurenţial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nediscriminatoriu în negocierea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încheierea acestor contracte</w:t>
      </w:r>
    </w:p>
    <w:p w:rsidR="00110294" w:rsidRDefault="00110294" w:rsidP="00110294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Posibilitatea participării agregate pe toate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pieţele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producătorilor de energie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dreptul de a încheia contracte bilaterale negociate direct între membrii agregării</w:t>
      </w:r>
    </w:p>
    <w:p w:rsidR="00110294" w:rsidRDefault="00110294" w:rsidP="00110294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Posibilitatea participării clienților finali, inclusiv prin intermediul agregatorilor, la piețele la termen, piața pentru ziua următoare, piața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intrazilnică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 cea de echilibrare</w:t>
      </w:r>
    </w:p>
    <w:p w:rsidR="00110294" w:rsidRDefault="00110294" w:rsidP="00110294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Dreptul acordat furnizorilor de a încheia contracte bilaterale negociate direct cu agregatorii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clienţilor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activi</w:t>
      </w:r>
    </w:p>
    <w:p w:rsidR="00110294" w:rsidRDefault="00110294" w:rsidP="00110294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nivelul pieței de echilibrare, renunțarea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obligaţia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ofertare, la limitele de preț, în afara celor tehnice permise de regulamentul UE,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introducerea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preţurilor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negative, măsuri care stimulează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participanţii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piaţa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echilibrare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contribuie la asigurarea rezervelor de putere necesare echilibrării sistemului de transport al energiei electrice.</w:t>
      </w:r>
    </w:p>
    <w:p w:rsidR="00110294" w:rsidRDefault="00110294" w:rsidP="00110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294" w:rsidRDefault="00110294" w:rsidP="00110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În vederea adoptării cadrului de reglementare necesar aplicării principiilor europene, ANRE a emis în această lună, </w:t>
      </w:r>
      <w:r>
        <w:rPr>
          <w:rFonts w:ascii="Times New Roman" w:hAnsi="Times New Roman" w:cs="Times New Roman"/>
          <w:b/>
          <w:i/>
          <w:sz w:val="24"/>
          <w:szCs w:val="24"/>
        </w:rPr>
        <w:t>Ordinul</w:t>
      </w:r>
      <w:r w:rsidRPr="00845072">
        <w:rPr>
          <w:rFonts w:ascii="Times New Roman" w:hAnsi="Times New Roman" w:cs="Times New Roman"/>
          <w:b/>
          <w:i/>
          <w:sz w:val="24"/>
          <w:szCs w:val="24"/>
        </w:rPr>
        <w:t xml:space="preserve"> pentru aprobarea condițiilor de furnizare a energiei electrice de către furnizorii de ultimă instanță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începând cu data de 1 ianuarie 2021.</w:t>
      </w:r>
      <w:r w:rsidRPr="00845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294" w:rsidRDefault="00110294" w:rsidP="00110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 reglementarea menționată au fost instituite în sarcina furnizorilor de ultimă instanță obligații </w:t>
      </w:r>
      <w:r w:rsidRPr="00642B65">
        <w:rPr>
          <w:rFonts w:ascii="Times New Roman" w:hAnsi="Times New Roman" w:cs="Times New Roman"/>
          <w:sz w:val="24"/>
          <w:szCs w:val="24"/>
        </w:rPr>
        <w:t>de informare a clienților</w:t>
      </w:r>
      <w:r>
        <w:rPr>
          <w:rFonts w:ascii="Times New Roman" w:hAnsi="Times New Roman" w:cs="Times New Roman"/>
          <w:sz w:val="24"/>
          <w:szCs w:val="24"/>
        </w:rPr>
        <w:t xml:space="preserve"> casnici, ce se impun ca urmare a</w:t>
      </w:r>
      <w:r w:rsidRPr="00642B65">
        <w:rPr>
          <w:rFonts w:ascii="Times New Roman" w:hAnsi="Times New Roman" w:cs="Times New Roman"/>
          <w:sz w:val="24"/>
          <w:szCs w:val="24"/>
        </w:rPr>
        <w:t xml:space="preserve"> liberalizării </w:t>
      </w:r>
      <w:proofErr w:type="spellStart"/>
      <w:r w:rsidRPr="00642B65">
        <w:rPr>
          <w:rFonts w:ascii="Times New Roman" w:hAnsi="Times New Roman" w:cs="Times New Roman"/>
          <w:sz w:val="24"/>
          <w:szCs w:val="24"/>
        </w:rPr>
        <w:t>pieţei</w:t>
      </w:r>
      <w:proofErr w:type="spellEnd"/>
      <w:r w:rsidRPr="00642B65">
        <w:rPr>
          <w:rFonts w:ascii="Times New Roman" w:hAnsi="Times New Roman" w:cs="Times New Roman"/>
          <w:sz w:val="24"/>
          <w:szCs w:val="24"/>
        </w:rPr>
        <w:t xml:space="preserve"> de energie electrică de la data de 1 ianuarie 2021</w:t>
      </w:r>
      <w:r>
        <w:rPr>
          <w:rFonts w:ascii="Times New Roman" w:hAnsi="Times New Roman" w:cs="Times New Roman"/>
          <w:sz w:val="24"/>
          <w:szCs w:val="24"/>
        </w:rPr>
        <w:t xml:space="preserve"> și, de asemenea, se stabilesc principii privind contractele aplicabile clienților casnici și </w:t>
      </w:r>
      <w:proofErr w:type="spellStart"/>
      <w:r>
        <w:rPr>
          <w:rFonts w:ascii="Times New Roman" w:hAnsi="Times New Roman" w:cs="Times New Roman"/>
          <w:sz w:val="24"/>
          <w:szCs w:val="24"/>
        </w:rPr>
        <w:t>noncasnici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beneficiari ai serviciului universal și principiile de stabilire a prețului aplicat </w:t>
      </w:r>
      <w:r w:rsidRPr="00642B65">
        <w:rPr>
          <w:rFonts w:ascii="Times New Roman" w:hAnsi="Times New Roman" w:cs="Times New Roman"/>
          <w:sz w:val="24"/>
          <w:szCs w:val="24"/>
        </w:rPr>
        <w:t xml:space="preserve">clienților casnici și </w:t>
      </w:r>
      <w:proofErr w:type="spellStart"/>
      <w:r w:rsidRPr="00642B65">
        <w:rPr>
          <w:rFonts w:ascii="Times New Roman" w:hAnsi="Times New Roman" w:cs="Times New Roman"/>
          <w:sz w:val="24"/>
          <w:szCs w:val="24"/>
        </w:rPr>
        <w:t>noncasnici</w:t>
      </w:r>
      <w:proofErr w:type="spellEnd"/>
      <w:r w:rsidRPr="00642B65">
        <w:rPr>
          <w:rFonts w:ascii="Times New Roman" w:hAnsi="Times New Roman" w:cs="Times New Roman"/>
          <w:sz w:val="24"/>
          <w:szCs w:val="24"/>
        </w:rPr>
        <w:t xml:space="preserve"> din portofoliul propriu care beneficiază de serviciul universal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294" w:rsidRDefault="00110294" w:rsidP="00110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îndeplinirea reglementărilor</w:t>
      </w:r>
      <w:r w:rsidRPr="00C57135">
        <w:rPr>
          <w:rFonts w:ascii="Times New Roman" w:hAnsi="Times New Roman" w:cs="Times New Roman"/>
          <w:sz w:val="24"/>
          <w:szCs w:val="24"/>
        </w:rPr>
        <w:t xml:space="preserve"> europene privind reducere</w:t>
      </w:r>
      <w:r w:rsidR="000E316D">
        <w:rPr>
          <w:rFonts w:ascii="Times New Roman" w:hAnsi="Times New Roman" w:cs="Times New Roman"/>
          <w:sz w:val="24"/>
          <w:szCs w:val="24"/>
        </w:rPr>
        <w:t>a duratei maxime a procesului</w:t>
      </w:r>
      <w:r w:rsidRPr="00C57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tehnic de </w:t>
      </w:r>
      <w:r w:rsidRPr="00C57135">
        <w:rPr>
          <w:rFonts w:ascii="Times New Roman" w:hAnsi="Times New Roman" w:cs="Times New Roman"/>
          <w:sz w:val="24"/>
          <w:szCs w:val="24"/>
        </w:rPr>
        <w:t>schimbare a furnizorului la 24 h până în a</w:t>
      </w:r>
      <w:r>
        <w:rPr>
          <w:rFonts w:ascii="Times New Roman" w:hAnsi="Times New Roman" w:cs="Times New Roman"/>
          <w:sz w:val="24"/>
          <w:szCs w:val="24"/>
        </w:rPr>
        <w:t>nul 2026</w:t>
      </w:r>
      <w:r w:rsidRPr="00C571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ANRE implementează un proiect finanțat din fonduri ner</w:t>
      </w:r>
      <w:r w:rsidR="000E316D">
        <w:rPr>
          <w:rFonts w:ascii="Times New Roman" w:hAnsi="Times New Roman" w:cs="Times New Roman"/>
          <w:sz w:val="24"/>
          <w:szCs w:val="24"/>
        </w:rPr>
        <w:t>ambursabile</w:t>
      </w:r>
      <w:r>
        <w:rPr>
          <w:rFonts w:ascii="Times New Roman" w:hAnsi="Times New Roman" w:cs="Times New Roman"/>
          <w:sz w:val="24"/>
          <w:szCs w:val="24"/>
        </w:rPr>
        <w:t xml:space="preserve"> în cadrul </w:t>
      </w:r>
      <w:r w:rsidRPr="00C57135">
        <w:rPr>
          <w:rFonts w:ascii="Times New Roman" w:hAnsi="Times New Roman" w:cs="Times New Roman"/>
          <w:sz w:val="24"/>
          <w:szCs w:val="24"/>
        </w:rPr>
        <w:t>Programul</w:t>
      </w:r>
      <w:r>
        <w:rPr>
          <w:rFonts w:ascii="Times New Roman" w:hAnsi="Times New Roman" w:cs="Times New Roman"/>
          <w:sz w:val="24"/>
          <w:szCs w:val="24"/>
        </w:rPr>
        <w:t>ui</w:t>
      </w:r>
      <w:r w:rsidRPr="00C57135">
        <w:rPr>
          <w:rFonts w:ascii="Times New Roman" w:hAnsi="Times New Roman" w:cs="Times New Roman"/>
          <w:sz w:val="24"/>
          <w:szCs w:val="24"/>
        </w:rPr>
        <w:t xml:space="preserve"> Operațional Capacitate Administrativă 2014-2020</w:t>
      </w:r>
      <w:r>
        <w:rPr>
          <w:rFonts w:ascii="Times New Roman" w:hAnsi="Times New Roman" w:cs="Times New Roman"/>
          <w:sz w:val="24"/>
          <w:szCs w:val="24"/>
        </w:rPr>
        <w:t xml:space="preserve">. Prin acest proiect se va realiza o platformă informatică unică la nivel național dedicată </w:t>
      </w:r>
      <w:r w:rsidRPr="00C57135">
        <w:rPr>
          <w:rFonts w:ascii="Times New Roman" w:hAnsi="Times New Roman" w:cs="Times New Roman"/>
          <w:sz w:val="24"/>
          <w:szCs w:val="24"/>
        </w:rPr>
        <w:t>procesului de schimbare a furnizorului de energie electrică și de gaze naturale</w:t>
      </w:r>
      <w:r>
        <w:rPr>
          <w:rFonts w:ascii="Times New Roman" w:hAnsi="Times New Roman" w:cs="Times New Roman"/>
          <w:sz w:val="24"/>
          <w:szCs w:val="24"/>
        </w:rPr>
        <w:t xml:space="preserve">, care </w:t>
      </w:r>
      <w:r w:rsidRPr="00C57135">
        <w:rPr>
          <w:rFonts w:ascii="Times New Roman" w:hAnsi="Times New Roman" w:cs="Times New Roman"/>
          <w:sz w:val="24"/>
          <w:szCs w:val="24"/>
        </w:rPr>
        <w:t>să contribuie la dezvoltarea unei piețe de energie dinamice și competitive.</w:t>
      </w:r>
    </w:p>
    <w:p w:rsidR="00110294" w:rsidRPr="00B646A7" w:rsidRDefault="00110294" w:rsidP="001102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</w:rPr>
        <w:t>În perio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ada următoare, </w:t>
      </w:r>
      <w:r w:rsidRPr="00B646A7">
        <w:rPr>
          <w:rFonts w:ascii="Times New Roman" w:hAnsi="Times New Roman" w:cs="Times New Roman"/>
          <w:sz w:val="24"/>
          <w:szCs w:val="24"/>
        </w:rPr>
        <w:t>ANRE are în lucru finalizarea întregului pachet de reglementări necesare implementării legislației naționale incidente și a pachetului legislativ „Ener</w:t>
      </w:r>
      <w:r>
        <w:rPr>
          <w:rFonts w:ascii="Times New Roman" w:hAnsi="Times New Roman" w:cs="Times New Roman"/>
          <w:sz w:val="24"/>
          <w:szCs w:val="24"/>
        </w:rPr>
        <w:t xml:space="preserve">gie curată”, dintre care menționăm </w:t>
      </w:r>
      <w:r w:rsidRPr="00B646A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trecerea la intervalul de decontare de 15 minute începând cu anul 2021, implementarea conceptului de single price (preț unic) pe piața de echilibrare și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în ultimul rând, </w:t>
      </w:r>
      <w:r w:rsidRPr="00B646A7">
        <w:rPr>
          <w:rFonts w:ascii="Times New Roman" w:eastAsia="Times New Roman" w:hAnsi="Times New Roman" w:cs="Times New Roman"/>
          <w:sz w:val="24"/>
          <w:szCs w:val="24"/>
          <w:lang w:eastAsia="ro-RO"/>
        </w:rPr>
        <w:t>finalizarea implementării regulilor necesare pentru utilizarea platformelor europene aferente pieței de echilibrare.</w:t>
      </w:r>
    </w:p>
    <w:p w:rsidR="0085060E" w:rsidRDefault="0085060E" w:rsidP="00110294">
      <w:pPr>
        <w:spacing w:line="276" w:lineRule="auto"/>
      </w:pPr>
    </w:p>
    <w:p w:rsidR="00110294" w:rsidRPr="00110294" w:rsidRDefault="00110294" w:rsidP="00110294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10294">
        <w:rPr>
          <w:rFonts w:ascii="Times New Roman" w:hAnsi="Times New Roman" w:cs="Times New Roman"/>
          <w:i/>
          <w:sz w:val="24"/>
          <w:szCs w:val="24"/>
        </w:rPr>
        <w:t>București, 29.09.2020</w:t>
      </w:r>
    </w:p>
    <w:sectPr w:rsidR="00110294" w:rsidRPr="00110294" w:rsidSect="003427FA">
      <w:footerReference w:type="default" r:id="rId7"/>
      <w:headerReference w:type="first" r:id="rId8"/>
      <w:footerReference w:type="first" r:id="rId9"/>
      <w:pgSz w:w="11906" w:h="16838" w:code="9"/>
      <w:pgMar w:top="1418" w:right="849" w:bottom="1276" w:left="1134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DC2" w:rsidRDefault="00CF7DC2" w:rsidP="003B4C37">
      <w:pPr>
        <w:spacing w:after="0" w:line="240" w:lineRule="auto"/>
      </w:pPr>
      <w:r>
        <w:separator/>
      </w:r>
    </w:p>
  </w:endnote>
  <w:endnote w:type="continuationSeparator" w:id="0">
    <w:p w:rsidR="00CF7DC2" w:rsidRDefault="00CF7DC2" w:rsidP="003B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072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1D6D" w:rsidRDefault="00561D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1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1D6D" w:rsidRDefault="00561D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C37" w:rsidRPr="00A63C0A" w:rsidRDefault="003B4C37" w:rsidP="00561D6D">
    <w:pPr>
      <w:tabs>
        <w:tab w:val="left" w:pos="2475"/>
        <w:tab w:val="center" w:pos="5031"/>
      </w:tabs>
      <w:spacing w:after="40" w:line="240" w:lineRule="auto"/>
      <w:jc w:val="center"/>
      <w:rPr>
        <w:rFonts w:ascii="Arial" w:hAnsi="Arial" w:cs="Arial"/>
        <w:sz w:val="16"/>
      </w:rPr>
    </w:pPr>
    <w:r w:rsidRPr="00A63C0A">
      <w:rPr>
        <w:rFonts w:ascii="Arial" w:hAnsi="Arial" w:cs="Arial"/>
        <w:sz w:val="16"/>
      </w:rPr>
      <w:t>Str. Constantin Nacu, nr. 3, Sector 2, Bucureşti, Cod poştal: 020995</w:t>
    </w:r>
  </w:p>
  <w:p w:rsidR="003B4C37" w:rsidRPr="00160D1D" w:rsidRDefault="00F80B77" w:rsidP="00F80B77">
    <w:pPr>
      <w:tabs>
        <w:tab w:val="center" w:pos="4864"/>
        <w:tab w:val="left" w:pos="8235"/>
      </w:tabs>
      <w:spacing w:after="40" w:line="240" w:lineRule="aut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="003B4C37" w:rsidRPr="00A63C0A">
      <w:rPr>
        <w:rFonts w:ascii="Arial" w:hAnsi="Arial" w:cs="Arial"/>
        <w:sz w:val="16"/>
      </w:rPr>
      <w:t>Tel: (021) 327 8100. Fax: (021) 312 4365. E-mail: anre@anre.ro. Web: www.anre.ro</w:t>
    </w:r>
    <w:r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DC2" w:rsidRDefault="00CF7DC2" w:rsidP="003B4C37">
      <w:pPr>
        <w:spacing w:after="0" w:line="240" w:lineRule="auto"/>
      </w:pPr>
      <w:r>
        <w:separator/>
      </w:r>
    </w:p>
  </w:footnote>
  <w:footnote w:type="continuationSeparator" w:id="0">
    <w:p w:rsidR="00CF7DC2" w:rsidRDefault="00CF7DC2" w:rsidP="003B4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C37" w:rsidRDefault="0027738A" w:rsidP="00561D6D">
    <w:pPr>
      <w:pStyle w:val="Header"/>
      <w:tabs>
        <w:tab w:val="clear" w:pos="9026"/>
        <w:tab w:val="right" w:pos="7349"/>
      </w:tabs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5800090</wp:posOffset>
          </wp:positionH>
          <wp:positionV relativeFrom="paragraph">
            <wp:posOffset>7620</wp:posOffset>
          </wp:positionV>
          <wp:extent cx="467995" cy="676275"/>
          <wp:effectExtent l="0" t="0" r="8255" b="9525"/>
          <wp:wrapTight wrapText="bothSides">
            <wp:wrapPolygon edited="0">
              <wp:start x="0" y="0"/>
              <wp:lineTo x="0" y="19470"/>
              <wp:lineTo x="7034" y="21296"/>
              <wp:lineTo x="14068" y="21296"/>
              <wp:lineTo x="21102" y="19470"/>
              <wp:lineTo x="2110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oat_of_arms_of_Romani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C37FD" wp14:editId="290CABA5">
              <wp:simplePos x="0" y="0"/>
              <wp:positionH relativeFrom="margin">
                <wp:posOffset>652145</wp:posOffset>
              </wp:positionH>
              <wp:positionV relativeFrom="paragraph">
                <wp:posOffset>153035</wp:posOffset>
              </wp:positionV>
              <wp:extent cx="5191125" cy="5619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4C37" w:rsidRPr="00A70B44" w:rsidRDefault="003B4C37" w:rsidP="003B4C37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szCs w:val="21"/>
                            </w:rPr>
                          </w:pPr>
                          <w:r w:rsidRPr="00A70B44">
                            <w:rPr>
                              <w:rFonts w:ascii="Arial" w:hAnsi="Arial" w:cs="Arial"/>
                              <w:b/>
                              <w:szCs w:val="21"/>
                            </w:rPr>
                            <w:t>AUTORITATEA NAȚIONALĂ DE REGLEMENTARE ÎN DOMENIUL ENERGIEI</w:t>
                          </w:r>
                        </w:p>
                        <w:p w:rsidR="003B4C37" w:rsidRDefault="003B4C37" w:rsidP="003B4C3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B1447">
                            <w:rPr>
                              <w:rFonts w:ascii="Arial" w:hAnsi="Arial" w:cs="Arial"/>
                              <w:sz w:val="20"/>
                            </w:rPr>
                            <w:t xml:space="preserve">Direcția </w:t>
                          </w:r>
                          <w:r w:rsidR="00110294">
                            <w:rPr>
                              <w:rFonts w:ascii="Arial" w:hAnsi="Arial" w:cs="Arial"/>
                              <w:sz w:val="20"/>
                            </w:rPr>
                            <w:t>relații internaționale, comunicare, relaț</w:t>
                          </w:r>
                          <w:r w:rsidR="00AF71FE">
                            <w:rPr>
                              <w:rFonts w:ascii="Arial" w:hAnsi="Arial" w:cs="Arial"/>
                              <w:sz w:val="20"/>
                            </w:rPr>
                            <w:t>ia cu Parlamentul</w:t>
                          </w:r>
                        </w:p>
                        <w:p w:rsidR="00AF71FE" w:rsidRPr="004B1447" w:rsidRDefault="00AF71FE" w:rsidP="003B4C3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C37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.35pt;margin-top:12.05pt;width:408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" filled="f" stroked="f" strokeweight=".5pt">
              <v:textbox>
                <w:txbxContent>
                  <w:p w:rsidR="003B4C37" w:rsidRPr="00A70B44" w:rsidRDefault="003B4C37" w:rsidP="003B4C37">
                    <w:pPr>
                      <w:spacing w:after="0" w:line="360" w:lineRule="auto"/>
                      <w:rPr>
                        <w:rFonts w:ascii="Arial" w:hAnsi="Arial" w:cs="Arial"/>
                        <w:b/>
                        <w:szCs w:val="21"/>
                      </w:rPr>
                    </w:pPr>
                    <w:r w:rsidRPr="00A70B44">
                      <w:rPr>
                        <w:rFonts w:ascii="Arial" w:hAnsi="Arial" w:cs="Arial"/>
                        <w:b/>
                        <w:szCs w:val="21"/>
                      </w:rPr>
                      <w:t>AUTORITATEA NAȚIONALĂ DE REGLEMENTARE ÎN DOMENIUL ENERGIEI</w:t>
                    </w:r>
                  </w:p>
                  <w:p w:rsidR="003B4C37" w:rsidRDefault="003B4C37" w:rsidP="003B4C3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4B1447">
                      <w:rPr>
                        <w:rFonts w:ascii="Arial" w:hAnsi="Arial" w:cs="Arial"/>
                        <w:sz w:val="20"/>
                      </w:rPr>
                      <w:t xml:space="preserve">Direcția </w:t>
                    </w:r>
                    <w:r w:rsidR="00110294">
                      <w:rPr>
                        <w:rFonts w:ascii="Arial" w:hAnsi="Arial" w:cs="Arial"/>
                        <w:sz w:val="20"/>
                      </w:rPr>
                      <w:t>relații internaționale, comunicare, relaț</w:t>
                    </w:r>
                    <w:r w:rsidR="00AF71FE">
                      <w:rPr>
                        <w:rFonts w:ascii="Arial" w:hAnsi="Arial" w:cs="Arial"/>
                        <w:sz w:val="20"/>
                      </w:rPr>
                      <w:t>ia cu Parlamentul</w:t>
                    </w:r>
                  </w:p>
                  <w:p w:rsidR="00AF71FE" w:rsidRPr="004B1447" w:rsidRDefault="00AF71FE" w:rsidP="003B4C3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61D6D">
      <w:rPr>
        <w:noProof/>
        <w:lang w:eastAsia="ro-RO"/>
      </w:rPr>
      <w:drawing>
        <wp:inline distT="0" distB="0" distL="0" distR="0" wp14:anchorId="27385D1F" wp14:editId="3859385E">
          <wp:extent cx="834887" cy="66993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ANRE - SIMBOL FINAL FINAL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074" cy="678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4C37" w:rsidRPr="006521DE">
      <w:rPr>
        <w:noProof/>
        <w:lang w:val="en-GB" w:eastAsia="en-GB"/>
      </w:rPr>
      <w:t xml:space="preserve"> </w:t>
    </w:r>
    <w:r w:rsidR="003B4C37">
      <w:t xml:space="preserve">                                                                                                                                                                </w:t>
    </w:r>
  </w:p>
  <w:p w:rsidR="003B4C37" w:rsidRDefault="0027738A">
    <w:pPr>
      <w:pStyle w:val="Head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219E66" wp14:editId="32C69781">
              <wp:simplePos x="0" y="0"/>
              <wp:positionH relativeFrom="margin">
                <wp:posOffset>1905</wp:posOffset>
              </wp:positionH>
              <wp:positionV relativeFrom="paragraph">
                <wp:posOffset>50165</wp:posOffset>
              </wp:positionV>
              <wp:extent cx="6264000" cy="0"/>
              <wp:effectExtent l="0" t="0" r="228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B2DE6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15pt,3.95pt" to="493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2804"/>
    <w:multiLevelType w:val="hybridMultilevel"/>
    <w:tmpl w:val="1032B458"/>
    <w:lvl w:ilvl="0" w:tplc="9F563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1B61"/>
    <w:multiLevelType w:val="hybridMultilevel"/>
    <w:tmpl w:val="3FA4E0BE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B5707C"/>
    <w:multiLevelType w:val="hybridMultilevel"/>
    <w:tmpl w:val="309EAA3E"/>
    <w:lvl w:ilvl="0" w:tplc="99582E28">
      <w:start w:val="4"/>
      <w:numFmt w:val="bullet"/>
      <w:lvlText w:val="-"/>
      <w:lvlJc w:val="left"/>
      <w:pPr>
        <w:ind w:left="708" w:hanging="360"/>
      </w:pPr>
      <w:rPr>
        <w:rFonts w:ascii="Times New Roman" w:eastAsiaTheme="minorHAnsi" w:hAnsi="Times New Roman" w:cs="Times New Roman" w:hint="default"/>
      </w:rPr>
    </w:lvl>
    <w:lvl w:ilvl="1" w:tplc="8E54CBD0">
      <w:start w:val="1"/>
      <w:numFmt w:val="bullet"/>
      <w:lvlText w:val="o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1A0D0A37"/>
    <w:multiLevelType w:val="hybridMultilevel"/>
    <w:tmpl w:val="464C3C54"/>
    <w:lvl w:ilvl="0" w:tplc="1194A3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11EBE"/>
    <w:multiLevelType w:val="hybridMultilevel"/>
    <w:tmpl w:val="18CA769A"/>
    <w:lvl w:ilvl="0" w:tplc="E042F5DE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2B3763D"/>
    <w:multiLevelType w:val="hybridMultilevel"/>
    <w:tmpl w:val="AA9EF26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175E80"/>
    <w:multiLevelType w:val="hybridMultilevel"/>
    <w:tmpl w:val="E9FE34F0"/>
    <w:lvl w:ilvl="0" w:tplc="BBE6E960">
      <w:start w:val="1"/>
      <w:numFmt w:val="decimal"/>
      <w:lvlText w:val="Art. %1. - "/>
      <w:lvlJc w:val="left"/>
      <w:pPr>
        <w:ind w:left="1778" w:hanging="360"/>
      </w:pPr>
      <w:rPr>
        <w:rFonts w:ascii="Times New Roman" w:hAnsi="Times New Roman" w:hint="default"/>
        <w:b/>
        <w:i w:val="0"/>
        <w:sz w:val="24"/>
      </w:rPr>
    </w:lvl>
    <w:lvl w:ilvl="1" w:tplc="4C20B858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2218" w:hanging="180"/>
      </w:pPr>
    </w:lvl>
    <w:lvl w:ilvl="3" w:tplc="0418000F" w:tentative="1">
      <w:start w:val="1"/>
      <w:numFmt w:val="decimal"/>
      <w:lvlText w:val="%4."/>
      <w:lvlJc w:val="left"/>
      <w:pPr>
        <w:ind w:left="2938" w:hanging="360"/>
      </w:pPr>
    </w:lvl>
    <w:lvl w:ilvl="4" w:tplc="04180019" w:tentative="1">
      <w:start w:val="1"/>
      <w:numFmt w:val="lowerLetter"/>
      <w:lvlText w:val="%5."/>
      <w:lvlJc w:val="left"/>
      <w:pPr>
        <w:ind w:left="3658" w:hanging="360"/>
      </w:pPr>
    </w:lvl>
    <w:lvl w:ilvl="5" w:tplc="0418001B" w:tentative="1">
      <w:start w:val="1"/>
      <w:numFmt w:val="lowerRoman"/>
      <w:lvlText w:val="%6."/>
      <w:lvlJc w:val="right"/>
      <w:pPr>
        <w:ind w:left="4378" w:hanging="180"/>
      </w:pPr>
    </w:lvl>
    <w:lvl w:ilvl="6" w:tplc="0418000F" w:tentative="1">
      <w:start w:val="1"/>
      <w:numFmt w:val="decimal"/>
      <w:lvlText w:val="%7."/>
      <w:lvlJc w:val="left"/>
      <w:pPr>
        <w:ind w:left="5098" w:hanging="360"/>
      </w:pPr>
    </w:lvl>
    <w:lvl w:ilvl="7" w:tplc="04180019" w:tentative="1">
      <w:start w:val="1"/>
      <w:numFmt w:val="lowerLetter"/>
      <w:lvlText w:val="%8."/>
      <w:lvlJc w:val="left"/>
      <w:pPr>
        <w:ind w:left="5818" w:hanging="360"/>
      </w:pPr>
    </w:lvl>
    <w:lvl w:ilvl="8" w:tplc="0418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3CE43865"/>
    <w:multiLevelType w:val="hybridMultilevel"/>
    <w:tmpl w:val="DD40A50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001385D"/>
    <w:multiLevelType w:val="hybridMultilevel"/>
    <w:tmpl w:val="A784180E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1E21A3"/>
    <w:multiLevelType w:val="hybridMultilevel"/>
    <w:tmpl w:val="DF124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907FE"/>
    <w:multiLevelType w:val="hybridMultilevel"/>
    <w:tmpl w:val="7E7CD260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3843A2F"/>
    <w:multiLevelType w:val="hybridMultilevel"/>
    <w:tmpl w:val="13A03102"/>
    <w:lvl w:ilvl="0" w:tplc="E042F5D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8090017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8943381"/>
    <w:multiLevelType w:val="hybridMultilevel"/>
    <w:tmpl w:val="A1AEFEB8"/>
    <w:lvl w:ilvl="0" w:tplc="BA306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26E4E"/>
    <w:multiLevelType w:val="hybridMultilevel"/>
    <w:tmpl w:val="D01C3FBC"/>
    <w:lvl w:ilvl="0" w:tplc="1B469FF4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3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37"/>
    <w:rsid w:val="000D4689"/>
    <w:rsid w:val="000D7AE0"/>
    <w:rsid w:val="000E316D"/>
    <w:rsid w:val="000F3DF1"/>
    <w:rsid w:val="00110294"/>
    <w:rsid w:val="00123A54"/>
    <w:rsid w:val="00125D85"/>
    <w:rsid w:val="00140718"/>
    <w:rsid w:val="00160D1D"/>
    <w:rsid w:val="0016112A"/>
    <w:rsid w:val="00172D21"/>
    <w:rsid w:val="001A1DA0"/>
    <w:rsid w:val="0027738A"/>
    <w:rsid w:val="00293F32"/>
    <w:rsid w:val="002A66A8"/>
    <w:rsid w:val="002A6DA5"/>
    <w:rsid w:val="002B3467"/>
    <w:rsid w:val="003427FA"/>
    <w:rsid w:val="003543C8"/>
    <w:rsid w:val="00364C45"/>
    <w:rsid w:val="00364E3A"/>
    <w:rsid w:val="0037458E"/>
    <w:rsid w:val="003B26B9"/>
    <w:rsid w:val="003B4C37"/>
    <w:rsid w:val="003C78E8"/>
    <w:rsid w:val="004119A7"/>
    <w:rsid w:val="0042783B"/>
    <w:rsid w:val="00437C42"/>
    <w:rsid w:val="004B55AA"/>
    <w:rsid w:val="004E5631"/>
    <w:rsid w:val="00520268"/>
    <w:rsid w:val="0052287D"/>
    <w:rsid w:val="00561D6D"/>
    <w:rsid w:val="00572DF7"/>
    <w:rsid w:val="00587BE2"/>
    <w:rsid w:val="005E003D"/>
    <w:rsid w:val="005E3B03"/>
    <w:rsid w:val="005E64BD"/>
    <w:rsid w:val="00620875"/>
    <w:rsid w:val="0066785A"/>
    <w:rsid w:val="00677CF9"/>
    <w:rsid w:val="006C1CB9"/>
    <w:rsid w:val="0076099F"/>
    <w:rsid w:val="00787AA2"/>
    <w:rsid w:val="00795361"/>
    <w:rsid w:val="007D1F9B"/>
    <w:rsid w:val="00845749"/>
    <w:rsid w:val="0085060E"/>
    <w:rsid w:val="0088430C"/>
    <w:rsid w:val="008D7198"/>
    <w:rsid w:val="008F401E"/>
    <w:rsid w:val="008F6221"/>
    <w:rsid w:val="00904AAE"/>
    <w:rsid w:val="00936332"/>
    <w:rsid w:val="00997D09"/>
    <w:rsid w:val="00A12310"/>
    <w:rsid w:val="00A26582"/>
    <w:rsid w:val="00A270B1"/>
    <w:rsid w:val="00A277E7"/>
    <w:rsid w:val="00A53F29"/>
    <w:rsid w:val="00A60696"/>
    <w:rsid w:val="00A67B3D"/>
    <w:rsid w:val="00AB62C4"/>
    <w:rsid w:val="00AE22CA"/>
    <w:rsid w:val="00AE6F05"/>
    <w:rsid w:val="00AF2BC1"/>
    <w:rsid w:val="00AF71FE"/>
    <w:rsid w:val="00B50AEF"/>
    <w:rsid w:val="00B63563"/>
    <w:rsid w:val="00B81C1F"/>
    <w:rsid w:val="00BA14C9"/>
    <w:rsid w:val="00BC0B70"/>
    <w:rsid w:val="00BD4091"/>
    <w:rsid w:val="00C042DC"/>
    <w:rsid w:val="00C17D43"/>
    <w:rsid w:val="00C2096C"/>
    <w:rsid w:val="00C41C0C"/>
    <w:rsid w:val="00CF7DC2"/>
    <w:rsid w:val="00D005D5"/>
    <w:rsid w:val="00D72DAB"/>
    <w:rsid w:val="00D76985"/>
    <w:rsid w:val="00DF7952"/>
    <w:rsid w:val="00E56C1A"/>
    <w:rsid w:val="00E7037E"/>
    <w:rsid w:val="00ED494E"/>
    <w:rsid w:val="00EF36DB"/>
    <w:rsid w:val="00F404C1"/>
    <w:rsid w:val="00F80B77"/>
    <w:rsid w:val="00FA1D08"/>
    <w:rsid w:val="00FD521F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70570F-F88A-4172-B1FA-555B294F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294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1F9B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3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B4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37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1D"/>
    <w:rPr>
      <w:rFonts w:ascii="Segoe UI" w:hAnsi="Segoe UI" w:cs="Segoe UI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uiPriority w:val="99"/>
    <w:rsid w:val="007D1F9B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paragraph" w:customStyle="1" w:styleId="Default">
    <w:name w:val="Default"/>
    <w:rsid w:val="00427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704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OLTENCEANU</dc:creator>
  <cp:keywords/>
  <dc:description/>
  <cp:lastModifiedBy>Alexandra OLTENCEANU</cp:lastModifiedBy>
  <cp:revision>4</cp:revision>
  <cp:lastPrinted>2020-09-28T11:59:00Z</cp:lastPrinted>
  <dcterms:created xsi:type="dcterms:W3CDTF">2020-09-29T12:01:00Z</dcterms:created>
  <dcterms:modified xsi:type="dcterms:W3CDTF">2020-09-29T12:06:00Z</dcterms:modified>
</cp:coreProperties>
</file>